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p w:rsidR="00000000" w:rsidDel="00000000" w:rsidP="00000000" w:rsidRDefault="00000000" w:rsidRPr="00000000" w14:paraId="00000025">
      <w:pPr>
        <w:keepNext w:val="1"/>
        <w:numPr>
          <w:ilvl w:val="0"/>
          <w:numId w:val="1"/>
        </w:numPr>
        <w:tabs>
          <w:tab w:val="left" w:pos="1134"/>
        </w:tabs>
        <w:spacing w:after="120" w:before="120" w:line="240" w:lineRule="auto"/>
        <w:ind w:left="360"/>
        <w:rPr>
          <w:b w:val="0"/>
        </w:rPr>
      </w:pP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spacing w:after="80" w:before="8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spacing w:after="80" w:before="8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8">
            <w:pPr>
              <w:keepNext w:val="1"/>
              <w:spacing w:after="80" w:before="8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submitted by the 5th Working Day. 50% up to 3 days late. 0% over 3 days late.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of receipt and time of receipt by CCS (as evidenced within the CCS’s data warehouse (Report Management Information system).</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All undisputed invoices to be paid within 30 calendar days of issue.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paid within 30 calendar days. 0% if paid over 30 calendar days.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of receipt and time of receipt by CCS (as evidenced within CCS’s CODA system).</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Supplier self-audit certificate to be issued to CCS in accordance with the Framework Contract.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accurate and on time.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of receipt and time of receipt by CCS.</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no Action Plan is required. 100% if all actions since last audit have been delivered to plan. 66% if one or two actions are late. 33% if three or four actions are late. 0% if more than 4 actions are late.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by CCS of completion of the actions by the dates identified in the Audit Report.</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Insurance certificates to be issued to CCS in accordance with the Framework Contract.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accurate and on time.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of receipt and time of receipt by CCS.</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280" w:before="120" w:line="259" w:lineRule="auto"/>
              <w:ind w:left="141" w:firstLine="0"/>
              <w:rPr>
                <w:rFonts w:ascii="Arial" w:cs="Arial" w:eastAsia="Arial" w:hAnsi="Arial"/>
                <w:sz w:val="22"/>
                <w:szCs w:val="22"/>
              </w:rPr>
            </w:pPr>
            <w:bookmarkStart w:colFirst="0" w:colLast="0" w:name="_heading=h.2s8eyo1" w:id="5"/>
            <w:bookmarkEnd w:id="5"/>
            <w:r w:rsidDel="00000000" w:rsidR="00000000" w:rsidRPr="00000000">
              <w:rPr>
                <w:rFonts w:ascii="Arial" w:cs="Arial" w:eastAsia="Arial" w:hAnsi="Arial"/>
                <w:sz w:val="22"/>
                <w:szCs w:val="22"/>
                <w:rtl w:val="0"/>
              </w:rPr>
              <w:t xml:space="preserve">Report on an annual basis from the Framework Start Date all social value commitments and their benefits for all Call-Off Contracts.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100% if accurate and on time.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280" w:before="120" w:line="259" w:lineRule="auto"/>
              <w:ind w:left="141"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Confirmation of receipt and time of receipt by CCS.</w:t>
            </w:r>
          </w:p>
        </w:tc>
      </w:tr>
    </w:tbl>
    <w:p w:rsidR="00000000" w:rsidDel="00000000" w:rsidP="00000000" w:rsidRDefault="00000000" w:rsidRPr="00000000" w14:paraId="0000003B">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3F">
      <w:pPr>
        <w:keepNext w:val="0"/>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0">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tyjcwt"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t3h5sf"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4d34og8"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3 (Continuous Improvement);]</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8 (Business Continuity and Disaster Recovery);]</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9 (Security); and]</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16 (Benchmarking).]</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B">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1">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in Paragraph 8 are to be included where CCS would be better placed to provide support on behalf of the Buyer community as a whole in these areas.]</w:t>
      </w:r>
      <w:r w:rsidDel="00000000" w:rsidR="00000000" w:rsidRPr="00000000">
        <w:rPr>
          <w:rtl w:val="0"/>
        </w:rPr>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6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2">
      <w:pPr>
        <w:keepNext w:val="1"/>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tab/>
      <w:t xml:space="preserve">                                           </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C">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AlVA5Jgv/PZQnC51Pn7NfLxUyA==">AMUW2mWtbFTRJXhSNjgt3DPDeA29/vzzUjP/q3sIxD/rz114qaFHBSr8wnajHOaSYV/JZwgFJZhp2F72wUkGVCe18jJIOOc5OrMETurobxKoAmRTlVx8qPSt8FtNi/xOoWjeRovGTQxrhzumix3905V5G6t/59qJ14TbDFL1btornnCeSyJdflnqppUH1jynA5ukVbUv4zVrjSj97013RTf7CM5n5RicYsFVCdFyHJD21KTwnEsAi0MvHIY6jwqKC3pEfHRmR7P0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